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71AD" w14:textId="77777777" w:rsidR="007B1C26" w:rsidRPr="007B1C26" w:rsidRDefault="007B1C26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Mongolian Baiti" w:eastAsia="Times New Roman" w:hAnsi="Mongolian Baiti" w:cs="Mongolian Baiti"/>
          <w:b/>
          <w:bCs/>
          <w:color w:val="000000"/>
          <w:sz w:val="8"/>
          <w:szCs w:val="24"/>
          <w:bdr w:val="none" w:sz="0" w:space="0" w:color="auto" w:frame="1"/>
          <w:lang w:eastAsia="it-IT"/>
        </w:rPr>
      </w:pPr>
    </w:p>
    <w:p w14:paraId="70E0AA79" w14:textId="77777777" w:rsidR="007E7AA6" w:rsidRPr="00BE5AE1" w:rsidRDefault="007B1C26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Garamond" w:eastAsia="Times New Roman" w:hAnsi="Garamond" w:cs="Mongolian Baiti"/>
          <w:b/>
          <w:bCs/>
          <w:color w:val="000000"/>
          <w:sz w:val="30"/>
          <w:szCs w:val="30"/>
          <w:bdr w:val="none" w:sz="0" w:space="0" w:color="auto" w:frame="1"/>
          <w:lang w:eastAsia="it-IT"/>
        </w:rPr>
      </w:pPr>
      <w:r w:rsidRPr="00BE5AE1">
        <w:rPr>
          <w:rFonts w:ascii="Garamond" w:eastAsia="Times New Roman" w:hAnsi="Garamond" w:cs="Mongolian Baiti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 xml:space="preserve">INFORMATIVA </w:t>
      </w:r>
      <w:r w:rsidR="007E7AA6" w:rsidRPr="00BE5AE1">
        <w:rPr>
          <w:rFonts w:ascii="Garamond" w:eastAsia="Times New Roman" w:hAnsi="Garamond" w:cs="Mongolian Baiti"/>
          <w:b/>
          <w:bCs/>
          <w:color w:val="000000"/>
          <w:sz w:val="30"/>
          <w:szCs w:val="30"/>
          <w:bdr w:val="none" w:sz="0" w:space="0" w:color="auto" w:frame="1"/>
          <w:lang w:eastAsia="it-IT"/>
        </w:rPr>
        <w:t xml:space="preserve">SUL TRATTAMENTO DEI DATI PERSONALI </w:t>
      </w:r>
    </w:p>
    <w:p w14:paraId="75F8DFBC" w14:textId="60079FAF" w:rsidR="00E53984" w:rsidRDefault="007E7AA6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</w:pPr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>ai sensi degli artt. 13 e 14 del Reg</w:t>
      </w:r>
      <w:r w:rsid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>.</w:t>
      </w:r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 xml:space="preserve"> UE 679/2016</w:t>
      </w:r>
      <w:r w:rsid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 xml:space="preserve"> (GDPR)</w:t>
      </w:r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 xml:space="preserve"> e del </w:t>
      </w:r>
      <w:proofErr w:type="gramStart"/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>D.Lgs</w:t>
      </w:r>
      <w:proofErr w:type="gramEnd"/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 xml:space="preserve">.196/2003 e </w:t>
      </w:r>
      <w:proofErr w:type="spellStart"/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>ss.mm.ii</w:t>
      </w:r>
      <w:proofErr w:type="spellEnd"/>
      <w:r w:rsidRPr="00BE5AE1">
        <w:rPr>
          <w:rFonts w:ascii="Garamond" w:eastAsia="Times New Roman" w:hAnsi="Garamond" w:cs="Mongolian Baiti"/>
          <w:color w:val="000000"/>
          <w:sz w:val="24"/>
          <w:bdr w:val="none" w:sz="0" w:space="0" w:color="auto" w:frame="1"/>
          <w:lang w:eastAsia="it-IT"/>
        </w:rPr>
        <w:t>.</w:t>
      </w:r>
    </w:p>
    <w:p w14:paraId="1F85F0CA" w14:textId="1E75C680" w:rsidR="000C4604" w:rsidRPr="000C4604" w:rsidRDefault="000C4604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0C4604"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Ingresso sedi dell’Ente </w:t>
      </w:r>
      <w:r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0C4604"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verifiche attuazione protocolli COVID-19</w:t>
      </w:r>
      <w:r>
        <w:rPr>
          <w:rFonts w:ascii="Garamond" w:eastAsia="Times New Roman" w:hAnsi="Garamond" w:cs="Mongolian Baiti"/>
          <w:color w:val="000000" w:themeColor="text1"/>
          <w:sz w:val="24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-</w:t>
      </w:r>
    </w:p>
    <w:p w14:paraId="67AC3232" w14:textId="77777777" w:rsidR="002F7C37" w:rsidRPr="000C4604" w:rsidRDefault="002F7C37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Mongolian Baiti" w:eastAsia="Times New Roman" w:hAnsi="Mongolian Baiti" w:cs="Mongolian Baiti"/>
          <w:b/>
          <w:bCs/>
          <w:color w:val="000000"/>
          <w:sz w:val="4"/>
          <w:szCs w:val="20"/>
          <w:bdr w:val="none" w:sz="0" w:space="0" w:color="auto" w:frame="1"/>
          <w:lang w:eastAsia="it-IT"/>
        </w:rPr>
      </w:pPr>
    </w:p>
    <w:p w14:paraId="540E8E97" w14:textId="0C6EA673" w:rsidR="00E53984" w:rsidRPr="0011672C" w:rsidRDefault="00E53984" w:rsidP="0011672C">
      <w:pPr>
        <w:spacing w:after="0"/>
        <w:rPr>
          <w:sz w:val="12"/>
          <w:szCs w:val="12"/>
        </w:rPr>
      </w:pPr>
      <w:r w:rsidRPr="00E53984">
        <w:rPr>
          <w:lang w:eastAsia="it-IT"/>
        </w:rPr>
        <w:t> </w:t>
      </w:r>
    </w:p>
    <w:p w14:paraId="58603F6F" w14:textId="51780B75" w:rsidR="000C4604" w:rsidRDefault="000C4604" w:rsidP="00FF3233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Gentile </w:t>
      </w:r>
      <w:r w:rsidRPr="000C4604">
        <w:rPr>
          <w:rFonts w:ascii="Garamond" w:eastAsia="Times New Roman" w:hAnsi="Garamond" w:cs="Mongolian Baiti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Dipendente/Utente/</w:t>
      </w:r>
      <w:r w:rsidRPr="000C4604">
        <w:rPr>
          <w:rFonts w:ascii="Garamond" w:eastAsia="Times New Roman" w:hAnsi="Garamond" w:cs="Mongolian Baiti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Fornitore/</w:t>
      </w:r>
      <w:r w:rsidRPr="000C4604">
        <w:rPr>
          <w:rFonts w:ascii="Garamond" w:eastAsia="Times New Roman" w:hAnsi="Garamond" w:cs="Mongolian Baiti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Visitatore 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e ogni altro soggetto terzo autorizzato ad accedere ai locali e agli uffici 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della Provincia di Nuoro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(di seguito, anche più semplicemente “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Provincia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” o “Titolare”)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, ai sensi della normativa sopra indicata, 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si forniscono di seguito le informazioni in merito al trattamento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dei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Suoi 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dati personali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(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nella Sua qualità di soggetto 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Interessato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) 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che, durante l’emergenza COVID-19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e non solo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accedono ai locali e agli uffici del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la Provincia</w:t>
      </w:r>
      <w:r w:rsidRPr="000C4604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o ad altri luoghi comunque a quest’ultima riferibili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. Tali informazioni 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si rend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ono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necessari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e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al fine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di proteggere i diritti e le libertà fondamentali delle persone fisiche, in particolare per quanto attiene alle modalità di 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eventuale 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rilevamento della temperatura corporea 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per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la prevenzione dal contagio da COVID-19.</w:t>
      </w:r>
      <w:r>
        <w:t xml:space="preserve"> </w:t>
      </w:r>
    </w:p>
    <w:p w14:paraId="4CB22CFA" w14:textId="38F317CE" w:rsidR="000C4604" w:rsidRPr="00FF3233" w:rsidRDefault="00FF3233" w:rsidP="007150FC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FF3233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TITOLARE DEL TRATTAMENTO</w:t>
      </w:r>
    </w:p>
    <w:p w14:paraId="4D811C4F" w14:textId="7CE8B037" w:rsidR="00E53984" w:rsidRDefault="00FF3233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Titolare del trattamento, </w:t>
      </w:r>
      <w:r w:rsidRPr="00BE5AE1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ai sensi del Reg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olamento</w:t>
      </w:r>
      <w:r w:rsidRPr="00BE5AE1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E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uropeo</w:t>
      </w:r>
      <w:r w:rsidRPr="00BE5AE1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679/2016 (di seguito “GDPR”) e della normativa nazionale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è l</w:t>
      </w:r>
      <w:r w:rsidR="00202BFA" w:rsidRPr="00202BFA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a </w:t>
      </w:r>
      <w:r w:rsidR="00202BFA" w:rsidRPr="00202BFA">
        <w:rPr>
          <w:rFonts w:ascii="Garamond" w:eastAsia="Times New Roman" w:hAnsi="Garamond" w:cs="Mongolian Baiti"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Provincia di Nuoro</w:t>
      </w:r>
      <w:r w:rsidR="00202BFA" w:rsidRPr="00202BFA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con sede in Piazza Italia 22 - 08100 - Nuoro (NU), C.F.: 00166520916 - Telefono: 0784.238600 - PEC: </w:t>
      </w:r>
      <w:hyperlink r:id="rId7" w:history="1">
        <w:r w:rsidR="00202BFA" w:rsidRPr="004012A5">
          <w:rPr>
            <w:rStyle w:val="Collegamentoipertestuale"/>
            <w:rFonts w:ascii="Garamond" w:eastAsia="Times New Roman" w:hAnsi="Garamond" w:cs="Mongolian Baiti"/>
            <w:sz w:val="24"/>
            <w:szCs w:val="24"/>
            <w:lang w:eastAsia="it-IT"/>
          </w:rPr>
          <w:t>protocollo@pec.provincia.nuoro.it</w:t>
        </w:r>
      </w:hyperlink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.</w:t>
      </w:r>
    </w:p>
    <w:p w14:paraId="1B5A563D" w14:textId="33E24F69" w:rsidR="00FF3233" w:rsidRDefault="00FF3233" w:rsidP="007150FC">
      <w:pPr>
        <w:spacing w:after="40" w:line="276" w:lineRule="auto"/>
        <w:ind w:left="28" w:right="57"/>
        <w:jc w:val="both"/>
        <w:textAlignment w:val="baseline"/>
      </w:pPr>
      <w:r w:rsidRPr="00FF3233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RESPONSABILE DELLA PROTEZIONE DEI DATI</w:t>
      </w:r>
      <w:r>
        <w:t xml:space="preserve"> </w:t>
      </w:r>
    </w:p>
    <w:p w14:paraId="05BD22DF" w14:textId="36A3B804" w:rsidR="00FF3233" w:rsidRDefault="00FF3233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Il Responsabile per la Protezione dei Dati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(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RPD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/DPO),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anche noto come Data </w:t>
      </w:r>
      <w:proofErr w:type="spellStart"/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Protection</w:t>
      </w:r>
      <w:proofErr w:type="spellEnd"/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proofErr w:type="spellStart"/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Officer</w:t>
      </w:r>
      <w:proofErr w:type="spellEnd"/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è stato designato </w:t>
      </w:r>
      <w:r w:rsidR="002112E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ai sensi dell’art. 37 del GDPR </w:t>
      </w:r>
      <w:r w:rsidRPr="00FF3233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dal Titolare ed è contattabile per eventuale supporto ai </w:t>
      </w:r>
      <w:r w:rsidR="002112E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recapiti dello stesso Titolare e/o ai contatti presenti sul sito web istituzionale dell’Ente (sezione privacy).</w:t>
      </w:r>
    </w:p>
    <w:p w14:paraId="41D74FCA" w14:textId="0570AE32" w:rsidR="00F4386C" w:rsidRDefault="00F4386C" w:rsidP="00F4386C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4386C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TIPOLOGIA DI DATI PERSONALI TRATTATI </w:t>
      </w:r>
    </w:p>
    <w:p w14:paraId="3FBFB9BB" w14:textId="50C7AC95" w:rsidR="00F4386C" w:rsidRDefault="00F4386C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Nei limiti delle finalità e delle modalità definite nella presente informativa,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saranno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oggetto di trattamento: dati anagrafici (nome, cognome, data di nascita, luogo di residenza)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,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recapiti telefonici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/Email,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informazioni relative la visita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(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data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/ora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di accesso e tempo di permanenza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), documento di riconoscimento/badge. Inoltre, nel periodo di “emergenza” dovuto al COVID-19, potranno essere oggetto di trattamento: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dati attinenti alla temperatura corporea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,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informazioni in merito a contatti stretti con soggetti sospetti o risultati positivi al COVID-19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,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informazioni in merito alla provenienza da zone a rischio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(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secondo le indicazioni dell’OMS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o di altre Autorità competenti),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informazioni in merito a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determinati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sintomi (disturbi respiratori, disturbi gastrointestinali, febbre)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.</w:t>
      </w:r>
    </w:p>
    <w:p w14:paraId="2C150C44" w14:textId="157A600F" w:rsidR="00F4386C" w:rsidRDefault="00F4386C" w:rsidP="00F4386C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SOGGETTI</w:t>
      </w:r>
      <w:r w:rsidRPr="00F4386C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 </w:t>
      </w:r>
      <w:r w:rsidRPr="00F4386C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INTERESSATI</w:t>
      </w:r>
      <w:r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 AL TRATTAMENTO</w:t>
      </w:r>
    </w:p>
    <w:p w14:paraId="6A97A5FD" w14:textId="77777777" w:rsidR="00F4386C" w:rsidRPr="00F4386C" w:rsidRDefault="00F4386C" w:rsidP="00F4386C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 dati personali oggetto di trattamento si riferiscono a: </w:t>
      </w:r>
    </w:p>
    <w:p w14:paraId="60EFCBF2" w14:textId="568B7B03" w:rsidR="00F4386C" w:rsidRPr="00F4386C" w:rsidRDefault="00F4386C" w:rsidP="00F4386C">
      <w:pPr>
        <w:pStyle w:val="Paragrafoelenco"/>
        <w:numPr>
          <w:ilvl w:val="0"/>
          <w:numId w:val="6"/>
        </w:numPr>
        <w:spacing w:after="120" w:line="276" w:lineRule="auto"/>
        <w:ind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4386C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*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ersonale dipendente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/collaboratore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del Titolare del Trattamento;</w:t>
      </w:r>
    </w:p>
    <w:p w14:paraId="336D15EF" w14:textId="35BF4E5D" w:rsidR="00F4386C" w:rsidRPr="00F4386C" w:rsidRDefault="00F4386C" w:rsidP="00F4386C">
      <w:pPr>
        <w:pStyle w:val="Paragrafoelenco"/>
        <w:numPr>
          <w:ilvl w:val="0"/>
          <w:numId w:val="6"/>
        </w:numPr>
        <w:spacing w:after="40" w:line="276" w:lineRule="auto"/>
        <w:ind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Utenti,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fornitori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, visitatori, trasportatori e ogni altro soggetto terzo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(esterno) ammesso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ad accedere ai locali e agli uffici del Titolare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o ad altri luoghi comunque a quest’ultima riferibili. </w:t>
      </w:r>
    </w:p>
    <w:p w14:paraId="022186EB" w14:textId="07636932" w:rsidR="00F4386C" w:rsidRDefault="00F4386C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4386C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*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Rispetto a tali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soggetti</w:t>
      </w:r>
      <w:r w:rsidRPr="00F4386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la presente informativa integra quella già fornita per il trattamento dei dati personali funzionale all’instaurazione e all’esecuzione del rapporto di lavoro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/collaborazione.</w:t>
      </w:r>
    </w:p>
    <w:p w14:paraId="7FEA7EFC" w14:textId="737E63B3" w:rsidR="00F4386C" w:rsidRPr="00CA2536" w:rsidRDefault="00CA2536" w:rsidP="00CA2536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CA2536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FINALITÀ E BASE GIURIDICA DEL TRATTAMENTO</w:t>
      </w:r>
    </w:p>
    <w:p w14:paraId="02EF7DAD" w14:textId="77777777" w:rsidR="0011672C" w:rsidRDefault="00CA2536" w:rsidP="0011672C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 dati vengono raccolti per finalità di prevenzione dal contagio da COVID-19 nonché per garantire la sicurezza di tutti gli </w:t>
      </w:r>
      <w:r w:rsid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Interessati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nell’attuale periodo di emergenza </w:t>
      </w:r>
      <w:r w:rsidR="00FA08AD"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e anche al superamento dello stesso (</w:t>
      </w:r>
      <w:r w:rsidR="00FA08AD"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tutela della salute e sicurezza dei lavoratori, tutela da eventuali contenziosi</w:t>
      </w:r>
      <w:r w:rsidR="00FA08AD"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tutela del patrimonio)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. </w:t>
      </w:r>
    </w:p>
    <w:p w14:paraId="5465D15D" w14:textId="36DE22F2" w:rsidR="00FA08AD" w:rsidRPr="00FA08AD" w:rsidRDefault="00FA08AD" w:rsidP="0011672C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A08AD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N.B.: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P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er far fronte al contenimento della pandemia,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il Titolare adotta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procedure di ingresso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con registrazione degli accessi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e può prevedere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la rilevazione della temperatura corporea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e la registrazione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lastRenderedPageBreak/>
        <w:t xml:space="preserve">della stessa (si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procederà a registrare la sola circostanza del superamento della soglia stabilita dalla legge quando ciò sia necessario a documentare le ragioni che hanno impedito l’accesso ai locali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/sedi)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.</w:t>
      </w:r>
    </w:p>
    <w:p w14:paraId="4D249C16" w14:textId="17B6F3D5" w:rsidR="00FA08AD" w:rsidRPr="00FA08AD" w:rsidRDefault="00FA08AD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La base giuridica per il trattamento dei dati relativi agli accessi (dati anagrafici, data e ora dell’accesso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documento di riconoscimento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)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è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da individuarsi nell’art. 6, par. 1, lett. d) ed e)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del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GDPR in quanto necessario per la salvaguardia di interessi vitali sia dell’interessato che di altre persone fisiche e, in ogni caso, necessario per motivi di interesse pubblico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nonché in base al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Regolamento interno adottato. Per quanto concerne il trattamento del dato di superamento della soglia limite della temperatura corporea, lo stesso fonda sull’art. 9, par. 2, lett. g)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del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GDPR, in quanto il trattamento è “necessario per motivi di interesse pubblico rilevante sulla base del diritto dell'Unione o degli Stati membri”, in attuazione dei Protocolli di sicurezza anti-contagio.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Inoltre il Titolare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potrebbe anche essere chiamat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o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, nell’ambito dell’attività di prevenzione e contenimento della pandemia svolta dalle Autorità sanitarie, a fornire a queste ultime i dati relativi all’accesso. In tal caso, il trattamento è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un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obblig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o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di legge (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ex </w:t>
      </w:r>
      <w:r w:rsidRPr="00FA08A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art. 6, par. 1, lett. c), GDPR).</w:t>
      </w:r>
    </w:p>
    <w:p w14:paraId="4940EE8D" w14:textId="3AA2B5AC" w:rsidR="00FA08AD" w:rsidRPr="00C070ED" w:rsidRDefault="00C070ED" w:rsidP="00C070ED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C070ED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NATURA DEL CONFERIMENTO DEI DATI </w:t>
      </w:r>
    </w:p>
    <w:p w14:paraId="7B33FB5A" w14:textId="2A102B75" w:rsidR="00C070ED" w:rsidRPr="00C070ED" w:rsidRDefault="00C070ED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C070E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Il conferimento dei dati</w:t>
      </w:r>
      <w:r w:rsid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C070E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è facoltativo</w:t>
      </w:r>
      <w:r w:rsid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</w:t>
      </w:r>
      <w:r w:rsidRPr="00C070E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ma</w:t>
      </w:r>
      <w:r w:rsid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</w:t>
      </w:r>
      <w:r w:rsidRPr="00C070E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tenuto conto delle finalità perseguite, </w:t>
      </w:r>
      <w:r w:rsidRPr="00C070E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necessario per accedere ai locali</w:t>
      </w:r>
      <w:r w:rsid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</w:t>
      </w:r>
      <w:r w:rsidRPr="00C070E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uffici </w:t>
      </w:r>
      <w:r w:rsidRPr="00C070E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dell’Ente</w:t>
      </w:r>
      <w:r w:rsidRPr="00C070E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. Il mancato, parziale o inesatto conferimento di tali dati avrà, come conseguenza, l'impossibilità di accedere ai locali del Titolare o ad altri luoghi comunque a quest’ultimo riferibili.</w:t>
      </w:r>
    </w:p>
    <w:p w14:paraId="26A0B981" w14:textId="3599D940" w:rsidR="00CA2536" w:rsidRPr="002B097B" w:rsidRDefault="002B097B" w:rsidP="002B097B">
      <w:pPr>
        <w:spacing w:after="4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2B097B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DESTINATARI DEI DATI PERSONALI</w:t>
      </w:r>
    </w:p>
    <w:p w14:paraId="23FA7AFD" w14:textId="77777777" w:rsidR="0061461D" w:rsidRPr="0061461D" w:rsidRDefault="002B097B" w:rsidP="0061461D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"/>
          <w:szCs w:val="2"/>
          <w:lang w:eastAsia="it-IT"/>
        </w:rPr>
      </w:pP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 dati personali sono trattati da personale dipendente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/collaboratore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della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Provincia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previamente autorizzato al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trattamento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(ex art. 29 del GDPR). 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 dati possono essere trattati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anche 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da soggetti esterni formalmente nominati Responsabili del trattamento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(ex art. 28 del GDPR), quali ad esempio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fornitori di servizi di portierato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fornitori che erogano servizi tecnico/informatici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, etc. 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 dati potranno essere 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inoltre 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comunicati alle istituzioni competenti e alle Autorità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sanitarie affinché le stesse possano assolvere ai compiti e alle funzioni loro assegnate dalla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vigente normativa. </w:t>
      </w:r>
      <w:r w:rsidRPr="002B097B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cr/>
      </w:r>
    </w:p>
    <w:p w14:paraId="46B7A8C0" w14:textId="6335DA09" w:rsidR="00CA2536" w:rsidRPr="0061461D" w:rsidRDefault="0061461D" w:rsidP="0061461D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61461D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CONSERVAZIONE DEI DATI</w:t>
      </w:r>
    </w:p>
    <w:p w14:paraId="19AA3977" w14:textId="614B3A74" w:rsidR="00CA2536" w:rsidRDefault="0061461D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61461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 dati relativi superamento della soglia limite di temperatura corporea saranno conservati sino al termine dello stato d’emergenza</w:t>
      </w:r>
      <w:r w:rsidRPr="0061461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61461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I dati relativi agli accessi saranno conservati </w:t>
      </w:r>
      <w:r w:rsidRPr="0061461D">
        <w:rPr>
          <w:rFonts w:ascii="Garamond" w:eastAsia="Times New Roman" w:hAnsi="Garamond" w:cs="Mongolian Baiti"/>
          <w:color w:val="000000"/>
          <w:sz w:val="24"/>
          <w:szCs w:val="24"/>
          <w:highlight w:val="yellow"/>
          <w:lang w:eastAsia="it-IT"/>
        </w:rPr>
        <w:t>per 3 (tre) mesi</w:t>
      </w:r>
      <w:r w:rsidRPr="0061461D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dalla data di acquisizione e poi successivamente distrutti. Nel caso insorga la necessità di impiegare detti i dati quali prove in sede giudiziaria, assicurativa o disciplinare, la conservazione si estenderà sino alla definizione del procedimento nell’ambito del quale gli stessi sono stati impiegati.</w:t>
      </w:r>
    </w:p>
    <w:p w14:paraId="4E69D1C5" w14:textId="0E524DA4" w:rsidR="0032561E" w:rsidRPr="0032561E" w:rsidRDefault="0032561E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32561E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TRASFERIMENTO DEI DATI PERSONALI </w:t>
      </w:r>
    </w:p>
    <w:p w14:paraId="1E0E54A7" w14:textId="16C5BC89" w:rsidR="0032561E" w:rsidRPr="0061461D" w:rsidRDefault="0032561E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32561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 dati non verranno trasferiti in paesi terzi rispetto all’Unione Europea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, salvo obblighi di legge.</w:t>
      </w:r>
    </w:p>
    <w:p w14:paraId="65A924AC" w14:textId="23A7AB27" w:rsidR="0032561E" w:rsidRPr="0032561E" w:rsidRDefault="0032561E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32561E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PROCESSO DECISIONALE AUTOMATIZZATO </w:t>
      </w:r>
    </w:p>
    <w:p w14:paraId="66475CEB" w14:textId="31778FF5" w:rsidR="00F4386C" w:rsidRPr="0032561E" w:rsidRDefault="0032561E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32561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Non è previsto un processo decisionale automatizzato ai sensi dell’art. 13 c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. </w:t>
      </w:r>
      <w:r w:rsidRPr="0032561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2 lettera f</w:t>
      </w:r>
      <w:r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)</w:t>
      </w:r>
      <w:r w:rsidRPr="0032561E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del GDPR.</w:t>
      </w:r>
    </w:p>
    <w:p w14:paraId="2C885C26" w14:textId="25246DD7" w:rsidR="0032561E" w:rsidRPr="0032561E" w:rsidRDefault="0032561E" w:rsidP="002112EE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</w:pPr>
      <w:r w:rsidRPr="0032561E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 xml:space="preserve">DIRITTI DELL’INTERESSATO </w:t>
      </w:r>
    </w:p>
    <w:p w14:paraId="7E41A513" w14:textId="72BC60CB" w:rsidR="00CB4F62" w:rsidRPr="00BE5AE1" w:rsidRDefault="0032561E" w:rsidP="0011672C">
      <w:pPr>
        <w:spacing w:after="120" w:line="276" w:lineRule="auto"/>
        <w:ind w:left="28" w:right="57"/>
        <w:jc w:val="both"/>
        <w:textAlignment w:val="baseline"/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</w:pP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L</w:t>
      </w: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'</w:t>
      </w: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I</w:t>
      </w: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nteressato </w:t>
      </w: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può</w:t>
      </w: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rivolgersi</w:t>
      </w: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al Titolare e/o al DPO</w:t>
      </w: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per far valere i propri diritti, così come previsto dagli articoli 15-22 e 77 del </w:t>
      </w:r>
      <w:r w:rsidR="0011672C"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GDPR</w:t>
      </w: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.</w:t>
      </w:r>
      <w:r w:rsidR="0011672C"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P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>L’interessato ha inoltre diritto di proporre reclamo o una segnalazione all’Autorità di controllo dello Stato di residenza (Garante per la protezione dei dati personali).</w:t>
      </w:r>
      <w:r w:rsidR="0011672C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</w:t>
      </w:r>
      <w:r w:rsidR="00CB4F62" w:rsidRPr="00BE5AE1">
        <w:rPr>
          <w:rFonts w:ascii="Garamond" w:eastAsia="Times New Roman" w:hAnsi="Garamond" w:cs="Mongolian Baiti"/>
          <w:b/>
          <w:bCs/>
          <w:color w:val="000000"/>
          <w:sz w:val="24"/>
          <w:szCs w:val="24"/>
          <w:lang w:eastAsia="it-IT"/>
        </w:rPr>
        <w:t>N.B.:</w:t>
      </w:r>
      <w:r w:rsidR="00CB4F62" w:rsidRPr="00BE5AE1">
        <w:rPr>
          <w:rFonts w:ascii="Garamond" w:eastAsia="Times New Roman" w:hAnsi="Garamond" w:cs="Mongolian Baiti"/>
          <w:color w:val="000000"/>
          <w:sz w:val="24"/>
          <w:szCs w:val="24"/>
          <w:lang w:eastAsia="it-IT"/>
        </w:rPr>
        <w:t xml:space="preserve"> Per maggiori informazioni sulle modalità di esercizio, si prega di prendere visione del documento denominato “Procedura Esercizio dei Diritti degli interessati” pubblicato sul sito dell’Ente.</w:t>
      </w:r>
    </w:p>
    <w:sectPr w:rsidR="00CB4F62" w:rsidRPr="00BE5AE1" w:rsidSect="0011672C">
      <w:footerReference w:type="default" r:id="rId8"/>
      <w:pgSz w:w="11906" w:h="16838"/>
      <w:pgMar w:top="1135" w:right="1134" w:bottom="1276" w:left="1134" w:header="709" w:footer="3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F8D0" w14:textId="77777777" w:rsidR="002C79B2" w:rsidRDefault="002C79B2" w:rsidP="002F7C37">
      <w:pPr>
        <w:spacing w:after="0" w:line="240" w:lineRule="auto"/>
      </w:pPr>
      <w:r>
        <w:separator/>
      </w:r>
    </w:p>
  </w:endnote>
  <w:endnote w:type="continuationSeparator" w:id="0">
    <w:p w14:paraId="2644A6EA" w14:textId="77777777" w:rsidR="002C79B2" w:rsidRDefault="002C79B2" w:rsidP="002F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822265"/>
      <w:docPartObj>
        <w:docPartGallery w:val="Page Numbers (Bottom of Page)"/>
        <w:docPartUnique/>
      </w:docPartObj>
    </w:sdtPr>
    <w:sdtEndPr>
      <w:rPr>
        <w:rFonts w:ascii="Garamond" w:hAnsi="Garamond" w:cs="Mongolian Baiti"/>
        <w:b/>
      </w:rPr>
    </w:sdtEndPr>
    <w:sdtContent>
      <w:p w14:paraId="7FCD9697" w14:textId="77777777" w:rsidR="0011672C" w:rsidRPr="0011672C" w:rsidRDefault="0011672C" w:rsidP="002F4E8A">
        <w:pPr>
          <w:pStyle w:val="Pidipagina"/>
          <w:pBdr>
            <w:top w:val="single" w:sz="4" w:space="1" w:color="auto"/>
          </w:pBdr>
          <w:jc w:val="center"/>
          <w:rPr>
            <w:sz w:val="4"/>
            <w:szCs w:val="4"/>
          </w:rPr>
        </w:pPr>
      </w:p>
      <w:p w14:paraId="231462AE" w14:textId="5CE95E25" w:rsidR="002F7C37" w:rsidRPr="0011672C" w:rsidRDefault="002F7C37" w:rsidP="002F4E8A">
        <w:pPr>
          <w:pStyle w:val="Pidipagina"/>
          <w:pBdr>
            <w:top w:val="single" w:sz="4" w:space="1" w:color="auto"/>
          </w:pBdr>
          <w:jc w:val="center"/>
          <w:rPr>
            <w:rFonts w:ascii="Garamond" w:hAnsi="Garamond" w:cs="Mongolian Baiti"/>
            <w:b/>
          </w:rPr>
        </w:pPr>
        <w:r w:rsidRPr="0011672C">
          <w:rPr>
            <w:rFonts w:ascii="Garamond" w:hAnsi="Garamond" w:cs="Mongolian Baiti"/>
            <w:b/>
          </w:rPr>
          <w:fldChar w:fldCharType="begin"/>
        </w:r>
        <w:r w:rsidRPr="0011672C">
          <w:rPr>
            <w:rFonts w:ascii="Garamond" w:hAnsi="Garamond" w:cs="Mongolian Baiti"/>
            <w:b/>
          </w:rPr>
          <w:instrText>PAGE   \* MERGEFORMAT</w:instrText>
        </w:r>
        <w:r w:rsidRPr="0011672C">
          <w:rPr>
            <w:rFonts w:ascii="Garamond" w:hAnsi="Garamond" w:cs="Mongolian Baiti"/>
            <w:b/>
          </w:rPr>
          <w:fldChar w:fldCharType="separate"/>
        </w:r>
        <w:r w:rsidR="002F4E8A" w:rsidRPr="0011672C">
          <w:rPr>
            <w:rFonts w:ascii="Garamond" w:hAnsi="Garamond" w:cs="Mongolian Baiti"/>
            <w:b/>
            <w:noProof/>
          </w:rPr>
          <w:t>1</w:t>
        </w:r>
        <w:r w:rsidRPr="0011672C">
          <w:rPr>
            <w:rFonts w:ascii="Garamond" w:hAnsi="Garamond" w:cs="Mongolian Baiti"/>
            <w:b/>
          </w:rPr>
          <w:fldChar w:fldCharType="end"/>
        </w:r>
      </w:p>
    </w:sdtContent>
  </w:sdt>
  <w:p w14:paraId="601A5F90" w14:textId="77777777" w:rsidR="002F7C37" w:rsidRDefault="002F7C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3285" w14:textId="77777777" w:rsidR="002C79B2" w:rsidRDefault="002C79B2" w:rsidP="002F7C37">
      <w:pPr>
        <w:spacing w:after="0" w:line="240" w:lineRule="auto"/>
      </w:pPr>
      <w:r>
        <w:separator/>
      </w:r>
    </w:p>
  </w:footnote>
  <w:footnote w:type="continuationSeparator" w:id="0">
    <w:p w14:paraId="543138A6" w14:textId="77777777" w:rsidR="002C79B2" w:rsidRDefault="002C79B2" w:rsidP="002F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D"/>
    <w:multiLevelType w:val="hybridMultilevel"/>
    <w:tmpl w:val="5816C506"/>
    <w:lvl w:ilvl="0" w:tplc="F4285DA8">
      <w:numFmt w:val="bullet"/>
      <w:lvlText w:val="-"/>
      <w:lvlJc w:val="left"/>
      <w:pPr>
        <w:ind w:left="720" w:hanging="360"/>
      </w:pPr>
      <w:rPr>
        <w:rFonts w:ascii="Mongolian Baiti" w:eastAsia="Times New Roman" w:hAnsi="Mongolian Baiti" w:cs="Mongolian Bai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D3C"/>
    <w:multiLevelType w:val="hybridMultilevel"/>
    <w:tmpl w:val="6B8C6118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4E4E3B18"/>
    <w:multiLevelType w:val="hybridMultilevel"/>
    <w:tmpl w:val="B61830D4"/>
    <w:lvl w:ilvl="0" w:tplc="869C8214">
      <w:numFmt w:val="bullet"/>
      <w:lvlText w:val="-"/>
      <w:lvlJc w:val="left"/>
      <w:pPr>
        <w:ind w:left="388" w:hanging="360"/>
      </w:pPr>
      <w:rPr>
        <w:rFonts w:ascii="Garamond" w:eastAsia="Times New Roman" w:hAnsi="Garamond" w:cs="Mongolian Baiti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5DF07768"/>
    <w:multiLevelType w:val="hybridMultilevel"/>
    <w:tmpl w:val="D444B400"/>
    <w:lvl w:ilvl="0" w:tplc="D3AACE8E">
      <w:start w:val="1"/>
      <w:numFmt w:val="lowerLetter"/>
      <w:lvlText w:val="%1)"/>
      <w:lvlJc w:val="left"/>
      <w:pPr>
        <w:ind w:left="748" w:hanging="360"/>
      </w:pPr>
      <w:rPr>
        <w:b/>
        <w:bCs/>
      </w:rPr>
    </w:lvl>
    <w:lvl w:ilvl="1" w:tplc="8A320CE4">
      <w:start w:val="1"/>
      <w:numFmt w:val="upperRoman"/>
      <w:lvlText w:val="%2."/>
      <w:lvlJc w:val="left"/>
      <w:pPr>
        <w:ind w:left="1828" w:hanging="720"/>
      </w:pPr>
      <w:rPr>
        <w:rFonts w:hint="default"/>
      </w:rPr>
    </w:lvl>
    <w:lvl w:ilvl="2" w:tplc="E8C2F98A">
      <w:start w:val="1"/>
      <w:numFmt w:val="bullet"/>
      <w:lvlText w:val="•"/>
      <w:lvlJc w:val="left"/>
      <w:pPr>
        <w:ind w:left="2368" w:hanging="360"/>
      </w:pPr>
      <w:rPr>
        <w:rFonts w:ascii="Garamond" w:eastAsia="Times New Roman" w:hAnsi="Garamond" w:cs="Mongolian Baiti" w:hint="default"/>
      </w:r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624A0B74"/>
    <w:multiLevelType w:val="hybridMultilevel"/>
    <w:tmpl w:val="1ACEB1D2"/>
    <w:lvl w:ilvl="0" w:tplc="A79487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B20EB"/>
    <w:multiLevelType w:val="hybridMultilevel"/>
    <w:tmpl w:val="EF96142A"/>
    <w:lvl w:ilvl="0" w:tplc="04100013">
      <w:start w:val="1"/>
      <w:numFmt w:val="upperRoman"/>
      <w:lvlText w:val="%1."/>
      <w:lvlJc w:val="right"/>
      <w:pPr>
        <w:ind w:left="748" w:hanging="360"/>
      </w:pPr>
    </w:lvl>
    <w:lvl w:ilvl="1" w:tplc="04100013">
      <w:start w:val="1"/>
      <w:numFmt w:val="upperRoman"/>
      <w:lvlText w:val="%2."/>
      <w:lvlJc w:val="righ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84"/>
    <w:rsid w:val="00081197"/>
    <w:rsid w:val="000C4604"/>
    <w:rsid w:val="0011672C"/>
    <w:rsid w:val="001610F7"/>
    <w:rsid w:val="00202BFA"/>
    <w:rsid w:val="002112EE"/>
    <w:rsid w:val="00231A26"/>
    <w:rsid w:val="002335D3"/>
    <w:rsid w:val="002A65DB"/>
    <w:rsid w:val="002B097B"/>
    <w:rsid w:val="002C79B2"/>
    <w:rsid w:val="002F4E8A"/>
    <w:rsid w:val="002F7C37"/>
    <w:rsid w:val="003133C7"/>
    <w:rsid w:val="0032561E"/>
    <w:rsid w:val="0034602D"/>
    <w:rsid w:val="003E6B2E"/>
    <w:rsid w:val="00514F1C"/>
    <w:rsid w:val="005246DA"/>
    <w:rsid w:val="00571137"/>
    <w:rsid w:val="005C658F"/>
    <w:rsid w:val="0061461D"/>
    <w:rsid w:val="006509A3"/>
    <w:rsid w:val="006710E3"/>
    <w:rsid w:val="006A781A"/>
    <w:rsid w:val="006D53EC"/>
    <w:rsid w:val="006E2A0D"/>
    <w:rsid w:val="007150FC"/>
    <w:rsid w:val="007376E4"/>
    <w:rsid w:val="0076511F"/>
    <w:rsid w:val="007B1C26"/>
    <w:rsid w:val="007E7AA6"/>
    <w:rsid w:val="007F15A5"/>
    <w:rsid w:val="00842B83"/>
    <w:rsid w:val="00890E67"/>
    <w:rsid w:val="00892E6B"/>
    <w:rsid w:val="008C728E"/>
    <w:rsid w:val="0092548F"/>
    <w:rsid w:val="00961BD1"/>
    <w:rsid w:val="009E74D5"/>
    <w:rsid w:val="009F0CC9"/>
    <w:rsid w:val="00A07043"/>
    <w:rsid w:val="00A20472"/>
    <w:rsid w:val="00AE1427"/>
    <w:rsid w:val="00B15B8C"/>
    <w:rsid w:val="00BA5634"/>
    <w:rsid w:val="00BE5AE1"/>
    <w:rsid w:val="00BF63AB"/>
    <w:rsid w:val="00C070ED"/>
    <w:rsid w:val="00C16E19"/>
    <w:rsid w:val="00C21EB7"/>
    <w:rsid w:val="00C27A5F"/>
    <w:rsid w:val="00CA2536"/>
    <w:rsid w:val="00CB4F62"/>
    <w:rsid w:val="00D8636C"/>
    <w:rsid w:val="00DB616E"/>
    <w:rsid w:val="00E00456"/>
    <w:rsid w:val="00E53984"/>
    <w:rsid w:val="00E9432D"/>
    <w:rsid w:val="00EE2FDA"/>
    <w:rsid w:val="00F17F22"/>
    <w:rsid w:val="00F26C41"/>
    <w:rsid w:val="00F323EF"/>
    <w:rsid w:val="00F421DA"/>
    <w:rsid w:val="00F4386C"/>
    <w:rsid w:val="00FA08AD"/>
    <w:rsid w:val="00FC42CA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D2F98"/>
  <w15:chartTrackingRefBased/>
  <w15:docId w15:val="{1F246EF9-293E-4C12-9248-7AE2E640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98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39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2E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7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C37"/>
  </w:style>
  <w:style w:type="paragraph" w:styleId="Pidipagina">
    <w:name w:val="footer"/>
    <w:basedOn w:val="Normale"/>
    <w:link w:val="PidipaginaCarattere"/>
    <w:uiPriority w:val="99"/>
    <w:unhideWhenUsed/>
    <w:rsid w:val="002F7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C37"/>
  </w:style>
  <w:style w:type="character" w:styleId="Menzionenonrisolta">
    <w:name w:val="Unresolved Mention"/>
    <w:basedOn w:val="Carpredefinitoparagrafo"/>
    <w:uiPriority w:val="99"/>
    <w:semiHidden/>
    <w:unhideWhenUsed/>
    <w:rsid w:val="005246D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E7AA6"/>
    <w:pPr>
      <w:widowControl w:val="0"/>
      <w:autoSpaceDE w:val="0"/>
      <w:autoSpaceDN w:val="0"/>
      <w:spacing w:after="0" w:line="240" w:lineRule="auto"/>
      <w:ind w:left="834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7AA6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provincia.nu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 DPO</dc:creator>
  <cp:keywords/>
  <dc:description/>
  <cp:lastModifiedBy>Pasquale Nicolazzo</cp:lastModifiedBy>
  <cp:revision>8</cp:revision>
  <cp:lastPrinted>2021-05-06T17:29:00Z</cp:lastPrinted>
  <dcterms:created xsi:type="dcterms:W3CDTF">2021-06-08T14:51:00Z</dcterms:created>
  <dcterms:modified xsi:type="dcterms:W3CDTF">2021-06-08T15:27:00Z</dcterms:modified>
</cp:coreProperties>
</file>